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AB3DF1">
        <w:t>1094</w:t>
      </w:r>
      <w:r w:rsidR="00A53AF3">
        <w:t>-210</w:t>
      </w:r>
      <w:r w:rsidR="00AB3DF1">
        <w:t>8</w:t>
      </w:r>
      <w:r w:rsidR="00597B8C">
        <w:t>/202</w:t>
      </w:r>
      <w:r w:rsidR="00AB3DF1">
        <w:t>5</w:t>
      </w:r>
    </w:p>
    <w:p w:rsidR="00BB2695" w:rsidP="00DE2FE7">
      <w:pPr>
        <w:ind w:firstLine="540"/>
        <w:jc w:val="right"/>
      </w:pPr>
      <w:r w:rsidRPr="00BB2695">
        <w:t>86MS0045-01-2024-000069-21</w:t>
      </w:r>
    </w:p>
    <w:p w:rsidR="00C5576E" w:rsidRPr="008E7F97" w:rsidP="00DE2FE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AB3DF1">
        <w:rPr>
          <w:sz w:val="28"/>
          <w:szCs w:val="28"/>
        </w:rPr>
        <w:t>02 июля 2025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AB3DF1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AB3DF1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</w:t>
      </w:r>
      <w:r w:rsidRPr="00AB3DF1">
        <w:rPr>
          <w:sz w:val="28"/>
          <w:szCs w:val="28"/>
        </w:rPr>
        <w:t xml:space="preserve">птева Т.А., </w:t>
      </w:r>
      <w:r w:rsidRPr="00AB0216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sz w:val="28"/>
          <w:szCs w:val="28"/>
        </w:rPr>
        <w:t>, находящийся по адресу</w:t>
      </w:r>
      <w:r w:rsidRPr="00AB3DF1">
        <w:rPr>
          <w:sz w:val="28"/>
          <w:szCs w:val="28"/>
        </w:rPr>
        <w:t xml:space="preserve"> г. Нижневартовск, ул. Нефтяников, д. 6, 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9839CD" w:rsidP="00C5576E">
      <w:pPr>
        <w:pStyle w:val="BodyTex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заместителя директора муниципального бюджетного общеобразовательного учреждения «Средняя школа № 6» Селютиной Татьяны Валерьевны</w:t>
      </w:r>
      <w:r w:rsidR="00407BE7">
        <w:rPr>
          <w:sz w:val="28"/>
          <w:szCs w:val="28"/>
          <w:lang w:val="ru-RU"/>
        </w:rPr>
        <w:t xml:space="preserve">, </w:t>
      </w:r>
      <w:r w:rsidR="001E4401">
        <w:rPr>
          <w:bCs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уроженки </w:t>
      </w:r>
      <w:r w:rsidR="001E4401">
        <w:rPr>
          <w:bCs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="00AB0216">
        <w:rPr>
          <w:sz w:val="28"/>
          <w:szCs w:val="28"/>
          <w:lang w:val="ru-RU"/>
        </w:rPr>
        <w:t>проживающей</w:t>
      </w:r>
      <w:r>
        <w:rPr>
          <w:sz w:val="28"/>
          <w:szCs w:val="28"/>
          <w:lang w:val="ru-RU"/>
        </w:rPr>
        <w:t xml:space="preserve"> по адресу: </w:t>
      </w:r>
      <w:r w:rsidR="001E4401">
        <w:rPr>
          <w:bCs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паспорт: </w:t>
      </w:r>
      <w:r w:rsidR="001E4401">
        <w:rPr>
          <w:bCs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</w:p>
    <w:p w:rsidR="00C5576E" w:rsidP="00C5576E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DF5FF6" w:rsidRPr="008E7F97" w:rsidP="00C5576E">
      <w:pPr>
        <w:suppressAutoHyphens/>
        <w:jc w:val="center"/>
        <w:rPr>
          <w:sz w:val="28"/>
          <w:szCs w:val="28"/>
        </w:rPr>
      </w:pPr>
    </w:p>
    <w:p w:rsidR="00E6732D" w:rsidP="00E6732D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Селютиной Т.В</w:t>
      </w:r>
      <w:r w:rsidR="009839CD">
        <w:rPr>
          <w:sz w:val="28"/>
          <w:szCs w:val="28"/>
          <w:lang w:val="ru-RU"/>
        </w:rPr>
        <w:t>., являющ</w:t>
      </w:r>
      <w:r w:rsidR="00B05A9E">
        <w:rPr>
          <w:sz w:val="28"/>
          <w:szCs w:val="28"/>
          <w:lang w:val="ru-RU"/>
        </w:rPr>
        <w:t>ей</w:t>
      </w:r>
      <w:r w:rsidR="00E12D47"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ru-RU"/>
        </w:rPr>
        <w:t xml:space="preserve">заместителем </w:t>
      </w:r>
      <w:r w:rsidR="005E3935">
        <w:rPr>
          <w:sz w:val="28"/>
          <w:szCs w:val="28"/>
          <w:lang w:val="ru-RU"/>
        </w:rPr>
        <w:t>директора</w:t>
      </w:r>
      <w:r w:rsidR="009839CD">
        <w:rPr>
          <w:sz w:val="28"/>
          <w:szCs w:val="28"/>
          <w:lang w:val="ru-RU"/>
        </w:rPr>
        <w:t xml:space="preserve"> м</w:t>
      </w:r>
      <w:r w:rsidR="00597B8C">
        <w:rPr>
          <w:sz w:val="28"/>
          <w:szCs w:val="28"/>
          <w:lang w:val="ru-RU"/>
        </w:rPr>
        <w:t>униципальн</w:t>
      </w:r>
      <w:r w:rsidR="009839CD">
        <w:rPr>
          <w:sz w:val="28"/>
          <w:szCs w:val="28"/>
          <w:lang w:val="ru-RU"/>
        </w:rPr>
        <w:t>ого</w:t>
      </w:r>
      <w:r w:rsidR="00597B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бюджетного общеобразовательного учреждения «Средняя школа № 6»</w:t>
      </w:r>
      <w:r w:rsidR="00BA5F66">
        <w:rPr>
          <w:sz w:val="28"/>
          <w:szCs w:val="28"/>
          <w:lang w:val="ru-RU"/>
        </w:rPr>
        <w:t xml:space="preserve"> </w:t>
      </w:r>
      <w:r w:rsidR="00597B8C">
        <w:rPr>
          <w:sz w:val="28"/>
          <w:szCs w:val="28"/>
          <w:lang w:val="ru-RU"/>
        </w:rPr>
        <w:t xml:space="preserve">(далее по тексту – </w:t>
      </w:r>
      <w:r w:rsidR="00762279">
        <w:rPr>
          <w:sz w:val="28"/>
          <w:szCs w:val="28"/>
          <w:lang w:val="ru-RU"/>
        </w:rPr>
        <w:t>Учреждение</w:t>
      </w:r>
      <w:r w:rsidR="00597B8C">
        <w:rPr>
          <w:sz w:val="28"/>
          <w:szCs w:val="28"/>
          <w:lang w:val="ru-RU"/>
        </w:rPr>
        <w:t>)</w:t>
      </w:r>
      <w:r w:rsidR="00EA17E2">
        <w:rPr>
          <w:sz w:val="28"/>
          <w:szCs w:val="28"/>
          <w:lang w:val="ru-RU"/>
        </w:rPr>
        <w:t>,</w:t>
      </w:r>
      <w:r w:rsidR="00597B8C">
        <w:rPr>
          <w:sz w:val="28"/>
          <w:szCs w:val="28"/>
          <w:lang w:val="ru-RU"/>
        </w:rPr>
        <w:t xml:space="preserve"> </w:t>
      </w:r>
      <w:r w:rsidRPr="00762279" w:rsidR="00762279">
        <w:rPr>
          <w:sz w:val="28"/>
          <w:szCs w:val="28"/>
          <w:lang w:val="ru-RU"/>
        </w:rPr>
        <w:t>в течение рабочего времени с 09-00 час</w:t>
      </w:r>
      <w:r w:rsidR="00E12D47">
        <w:rPr>
          <w:sz w:val="28"/>
          <w:szCs w:val="28"/>
          <w:lang w:val="ru-RU"/>
        </w:rPr>
        <w:t>о</w:t>
      </w:r>
      <w:r w:rsidR="00B05A9E">
        <w:rPr>
          <w:sz w:val="28"/>
          <w:szCs w:val="28"/>
          <w:lang w:val="ru-RU"/>
        </w:rPr>
        <w:t xml:space="preserve">в до 18-00 часов </w:t>
      </w:r>
      <w:r>
        <w:rPr>
          <w:sz w:val="28"/>
          <w:szCs w:val="28"/>
          <w:lang w:val="ru-RU"/>
        </w:rPr>
        <w:t>10.10.2024</w:t>
      </w:r>
      <w:r w:rsidR="00AB0216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25.10.2024</w:t>
      </w:r>
      <w:r w:rsidRPr="00762279" w:rsidR="00762279">
        <w:rPr>
          <w:sz w:val="28"/>
          <w:szCs w:val="28"/>
          <w:lang w:val="ru-RU"/>
        </w:rPr>
        <w:t xml:space="preserve"> по адресу: город Нижневартовск, </w:t>
      </w:r>
      <w:r>
        <w:rPr>
          <w:sz w:val="28"/>
          <w:szCs w:val="28"/>
          <w:lang w:val="ru-RU"/>
        </w:rPr>
        <w:t>проспект Победы</w:t>
      </w:r>
      <w:r w:rsidRPr="00762279" w:rsidR="00762279">
        <w:rPr>
          <w:sz w:val="28"/>
          <w:szCs w:val="28"/>
          <w:lang w:val="ru-RU"/>
        </w:rPr>
        <w:t>, дом 3</w:t>
      </w:r>
      <w:r>
        <w:rPr>
          <w:sz w:val="28"/>
          <w:szCs w:val="28"/>
          <w:lang w:val="ru-RU"/>
        </w:rPr>
        <w:t>б</w:t>
      </w:r>
      <w:r w:rsidRPr="00762279" w:rsidR="00762279">
        <w:rPr>
          <w:sz w:val="28"/>
          <w:szCs w:val="28"/>
          <w:lang w:val="ru-RU"/>
        </w:rPr>
        <w:t xml:space="preserve">, </w:t>
      </w:r>
      <w:r w:rsidRPr="00AB3DF1">
        <w:rPr>
          <w:sz w:val="28"/>
          <w:szCs w:val="28"/>
          <w:lang w:val="ru-RU"/>
        </w:rPr>
        <w:t>произведено неправомерное направление средств на выплату заработной платы на общую сумм</w:t>
      </w:r>
      <w:r w:rsidRPr="00AB3DF1">
        <w:rPr>
          <w:sz w:val="28"/>
          <w:szCs w:val="28"/>
          <w:lang w:val="ru-RU"/>
        </w:rPr>
        <w:t>у 45 467,93 руб. за счет средств субсидии на финансовое обеспечение выполнения муниципального задания за счет субвенции на реализацию основных общеобразовательных программ, предоставленной учреждению в соответствии с соглашением о порядке и условиях предос</w:t>
      </w:r>
      <w:r w:rsidRPr="00AB3DF1">
        <w:rPr>
          <w:sz w:val="28"/>
          <w:szCs w:val="28"/>
          <w:lang w:val="ru-RU"/>
        </w:rPr>
        <w:t>тавления и использования субсидии на финансовое обеспечение выполнения муниципального задания на оказание муниципальных услуг (выполнение работ) от 29.12.20</w:t>
      </w:r>
      <w:r>
        <w:rPr>
          <w:sz w:val="28"/>
          <w:szCs w:val="28"/>
          <w:lang w:val="ru-RU"/>
        </w:rPr>
        <w:t>23 №36 (далее - Соглашение №36),</w:t>
      </w:r>
      <w:r w:rsidRPr="007622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начисленную </w:t>
      </w:r>
      <w:r w:rsidRPr="00AB3DF1">
        <w:rPr>
          <w:sz w:val="28"/>
          <w:szCs w:val="28"/>
          <w:lang w:val="ru-RU"/>
        </w:rPr>
        <w:t>специалисту</w:t>
      </w:r>
      <w:r w:rsidR="00EA17E2">
        <w:rPr>
          <w:sz w:val="28"/>
          <w:szCs w:val="28"/>
          <w:lang w:val="ru-RU"/>
        </w:rPr>
        <w:t xml:space="preserve"> </w:t>
      </w:r>
      <w:r w:rsidRPr="00AB3DF1">
        <w:rPr>
          <w:sz w:val="28"/>
          <w:szCs w:val="28"/>
          <w:lang w:val="ru-RU"/>
        </w:rPr>
        <w:t xml:space="preserve">по безопасности </w:t>
      </w:r>
      <w:r w:rsidR="001E4401">
        <w:rPr>
          <w:sz w:val="28"/>
          <w:szCs w:val="28"/>
          <w:lang w:val="ru-RU"/>
        </w:rPr>
        <w:t>ФИО1</w:t>
      </w:r>
      <w:r w:rsidRPr="00AB3DF1">
        <w:rPr>
          <w:sz w:val="28"/>
          <w:szCs w:val="28"/>
          <w:lang w:val="ru-RU"/>
        </w:rPr>
        <w:t xml:space="preserve">. в период с </w:t>
      </w:r>
      <w:r w:rsidRPr="00AB3DF1">
        <w:rPr>
          <w:sz w:val="28"/>
          <w:szCs w:val="28"/>
          <w:lang w:val="ru-RU"/>
        </w:rPr>
        <w:t>01.10.2024 по 31.12.</w:t>
      </w:r>
      <w:r w:rsidR="00EA17E2">
        <w:rPr>
          <w:sz w:val="28"/>
          <w:szCs w:val="28"/>
          <w:lang w:val="ru-RU"/>
        </w:rPr>
        <w:t>2024</w:t>
      </w:r>
      <w:r w:rsidRPr="00AB3DF1">
        <w:rPr>
          <w:sz w:val="28"/>
          <w:szCs w:val="28"/>
          <w:lang w:val="ru-RU"/>
        </w:rPr>
        <w:t xml:space="preserve">, </w:t>
      </w:r>
      <w:r w:rsidR="00AB0216">
        <w:rPr>
          <w:sz w:val="28"/>
          <w:szCs w:val="28"/>
          <w:lang w:val="ru-RU"/>
        </w:rPr>
        <w:t xml:space="preserve">при этом </w:t>
      </w:r>
      <w:r w:rsidRPr="00AB3DF1">
        <w:rPr>
          <w:sz w:val="28"/>
          <w:szCs w:val="28"/>
          <w:lang w:val="ru-RU"/>
        </w:rPr>
        <w:t xml:space="preserve"> субсидия из бюджета округа  предоставлена на оплату труда работников муниципальных общеобразовательных организаций, перечень которых установлен приложением 14 к Постановлению №567-п, </w:t>
      </w:r>
      <w:r w:rsidR="00AB0216">
        <w:rPr>
          <w:sz w:val="28"/>
          <w:szCs w:val="28"/>
          <w:lang w:val="ru-RU"/>
        </w:rPr>
        <w:t>где</w:t>
      </w:r>
      <w:r w:rsidRPr="00AB3DF1">
        <w:rPr>
          <w:sz w:val="28"/>
          <w:szCs w:val="28"/>
          <w:lang w:val="ru-RU"/>
        </w:rPr>
        <w:t xml:space="preserve"> должность специалиста по безопасности, расходы на оплату труда которой возможность производить за счет субсидии из бюджета округа да</w:t>
      </w:r>
      <w:r>
        <w:rPr>
          <w:sz w:val="28"/>
          <w:szCs w:val="28"/>
          <w:lang w:val="ru-RU"/>
        </w:rPr>
        <w:t>нным приложением не установлена.</w:t>
      </w:r>
    </w:p>
    <w:p w:rsidR="00762279" w:rsidP="00C5576E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судебном заседании представитель а</w:t>
      </w:r>
      <w:r w:rsidR="001A3088">
        <w:rPr>
          <w:sz w:val="28"/>
          <w:szCs w:val="28"/>
          <w:lang w:val="ru-RU"/>
        </w:rPr>
        <w:t xml:space="preserve">дминистративного органа </w:t>
      </w:r>
      <w:r w:rsidR="001E4401">
        <w:rPr>
          <w:sz w:val="28"/>
          <w:szCs w:val="28"/>
          <w:lang w:val="ru-RU"/>
        </w:rPr>
        <w:t>ФИО2</w:t>
      </w:r>
      <w:r w:rsidR="0068640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настаивала на обс</w:t>
      </w:r>
      <w:r>
        <w:rPr>
          <w:sz w:val="28"/>
          <w:szCs w:val="28"/>
          <w:lang w:val="ru-RU"/>
        </w:rPr>
        <w:t xml:space="preserve">тоятельствах, изложенных в протоколе об административном правонарушении.  </w:t>
      </w:r>
    </w:p>
    <w:p w:rsidR="00AB0216" w:rsidRPr="00E57FF7" w:rsidP="00AB0216">
      <w:pPr>
        <w:pStyle w:val="BodyTextIndent"/>
        <w:rPr>
          <w:sz w:val="28"/>
          <w:szCs w:val="28"/>
        </w:rPr>
      </w:pPr>
      <w:r>
        <w:rPr>
          <w:sz w:val="28"/>
          <w:lang w:val="ru-RU"/>
        </w:rPr>
        <w:t>Селютина Т.В.</w:t>
      </w:r>
      <w:r w:rsidR="00D852CE">
        <w:rPr>
          <w:sz w:val="28"/>
        </w:rPr>
        <w:t xml:space="preserve"> </w:t>
      </w:r>
      <w:r w:rsidR="005E3935">
        <w:rPr>
          <w:sz w:val="28"/>
          <w:lang w:val="ru-RU"/>
        </w:rPr>
        <w:t>н</w:t>
      </w:r>
      <w:r w:rsidRPr="00E57FF7">
        <w:rPr>
          <w:sz w:val="28"/>
          <w:szCs w:val="28"/>
        </w:rPr>
        <w:t>а рассмотрение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E57FF7">
        <w:rPr>
          <w:sz w:val="28"/>
          <w:szCs w:val="28"/>
        </w:rPr>
        <w:t>не яви</w:t>
      </w:r>
      <w:r>
        <w:rPr>
          <w:sz w:val="28"/>
          <w:szCs w:val="28"/>
        </w:rPr>
        <w:t>лась</w:t>
      </w:r>
      <w:r w:rsidRPr="00E57FF7">
        <w:rPr>
          <w:sz w:val="28"/>
          <w:szCs w:val="28"/>
        </w:rPr>
        <w:t>, о времени и месте рассмотрения дела об административном правонарушении извещал</w:t>
      </w:r>
      <w:r w:rsidR="00DA1783">
        <w:rPr>
          <w:sz w:val="28"/>
          <w:szCs w:val="28"/>
          <w:lang w:val="ru-RU"/>
        </w:rPr>
        <w:t>ась</w:t>
      </w:r>
      <w:r w:rsidRPr="00E57FF7">
        <w:rPr>
          <w:sz w:val="28"/>
          <w:szCs w:val="28"/>
        </w:rPr>
        <w:t xml:space="preserve"> по месту жительст</w:t>
      </w:r>
      <w:r w:rsidRPr="00E57FF7">
        <w:rPr>
          <w:sz w:val="28"/>
          <w:szCs w:val="28"/>
        </w:rPr>
        <w:t xml:space="preserve">ва судебной повесткой, которая вернулась обратно по истечению срока хранения. </w:t>
      </w:r>
    </w:p>
    <w:p w:rsidR="00AB0216" w:rsidP="00AB0216">
      <w:pPr>
        <w:pStyle w:val="BodyTextIndent"/>
        <w:rPr>
          <w:sz w:val="28"/>
        </w:rPr>
      </w:pPr>
      <w:r w:rsidRPr="00E57FF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</w:t>
      </w:r>
      <w:r w:rsidRPr="00E57FF7">
        <w:rPr>
          <w:sz w:val="28"/>
          <w:szCs w:val="28"/>
        </w:rPr>
        <w:t>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DA1783" w:rsidR="00DA1783">
        <w:rPr>
          <w:sz w:val="28"/>
          <w:lang w:val="ru-RU"/>
        </w:rPr>
        <w:t xml:space="preserve"> </w:t>
      </w:r>
      <w:r w:rsidR="00DA1783">
        <w:rPr>
          <w:sz w:val="28"/>
          <w:lang w:val="ru-RU"/>
        </w:rPr>
        <w:t>Селютиной Т.В.</w:t>
      </w:r>
    </w:p>
    <w:p w:rsidR="00D852CE" w:rsidP="00D852CE">
      <w:pPr>
        <w:pStyle w:val="BlockText"/>
        <w:tabs>
          <w:tab w:val="left" w:pos="540"/>
        </w:tabs>
        <w:spacing w:line="240" w:lineRule="auto"/>
        <w:ind w:left="0" w:right="0" w:firstLine="567"/>
        <w:rPr>
          <w:sz w:val="28"/>
        </w:rPr>
      </w:pPr>
      <w:r>
        <w:rPr>
          <w:sz w:val="28"/>
        </w:rPr>
        <w:t xml:space="preserve">Мировой судья, выслушав представителя административного органа, изучив материалы дела, приходит к следующему.  </w:t>
      </w:r>
    </w:p>
    <w:p w:rsidR="00B72C2E" w:rsidP="008E13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 65</w:t>
      </w:r>
      <w:r w:rsidRPr="008E135A" w:rsidR="008E135A">
        <w:rPr>
          <w:sz w:val="28"/>
          <w:szCs w:val="28"/>
        </w:rPr>
        <w:t xml:space="preserve"> Бюджетного кодекса Российской Федерации (далее - БК РФ) </w:t>
      </w:r>
      <w:r>
        <w:rPr>
          <w:sz w:val="28"/>
          <w:szCs w:val="28"/>
        </w:rPr>
        <w:t>установлено, что ф</w:t>
      </w:r>
      <w:r w:rsidRPr="00B72C2E">
        <w:rPr>
          <w:sz w:val="28"/>
          <w:szCs w:val="28"/>
        </w:rPr>
        <w:t xml:space="preserve">ормирование расходов бюджетов бюджетной системы Российской </w:t>
      </w:r>
      <w:r w:rsidRPr="00B72C2E">
        <w:rPr>
          <w:sz w:val="28"/>
          <w:szCs w:val="28"/>
        </w:rPr>
        <w:t>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</w:t>
      </w:r>
      <w:r w:rsidRPr="00B72C2E">
        <w:rPr>
          <w:sz w:val="28"/>
          <w:szCs w:val="28"/>
        </w:rPr>
        <w:t>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</w:t>
      </w:r>
      <w:r w:rsidRPr="00B72C2E">
        <w:rPr>
          <w:sz w:val="28"/>
          <w:szCs w:val="28"/>
        </w:rPr>
        <w:t>а счет с</w:t>
      </w:r>
      <w:r>
        <w:rPr>
          <w:sz w:val="28"/>
          <w:szCs w:val="28"/>
        </w:rPr>
        <w:t>редств соответствующих бюджетов.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 xml:space="preserve">Ассигнования на предоставление субсидий бюджетным учреждениям,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 (статья 69.1 </w:t>
      </w:r>
      <w:r>
        <w:rPr>
          <w:sz w:val="28"/>
          <w:szCs w:val="28"/>
        </w:rPr>
        <w:t>БК</w:t>
      </w:r>
      <w:r w:rsidRPr="00B72C2E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Pr="00B72C2E">
        <w:rPr>
          <w:sz w:val="28"/>
          <w:szCs w:val="28"/>
        </w:rPr>
        <w:t>).</w:t>
      </w:r>
    </w:p>
    <w:p w:rsid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Для</w:t>
      </w:r>
      <w:r w:rsidRPr="00B72C2E">
        <w:rPr>
          <w:sz w:val="28"/>
          <w:szCs w:val="28"/>
        </w:rPr>
        <w:t xml:space="preserve"> определения объема субсидии на выполнение муниципального задания бюджетным учреждением используются показатели муниципального задания, которое формируется в порядке, установленном местной администрацией муниципального образования. Финансовое обеспечение в</w:t>
      </w:r>
      <w:r w:rsidRPr="00B72C2E">
        <w:rPr>
          <w:sz w:val="28"/>
          <w:szCs w:val="28"/>
        </w:rPr>
        <w:t xml:space="preserve">ыполнения муниципального задания осуществляется в установленном порядке за счет средств соответствующего бюджета (статья 69.2 </w:t>
      </w:r>
      <w:r>
        <w:rPr>
          <w:sz w:val="28"/>
          <w:szCs w:val="28"/>
        </w:rPr>
        <w:t>БК</w:t>
      </w:r>
      <w:r w:rsidRPr="00B72C2E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B72C2E">
        <w:rPr>
          <w:sz w:val="28"/>
          <w:szCs w:val="28"/>
        </w:rPr>
        <w:t>).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В соответствии с пунктом 13 части 1 статьи 16 Федерального закона от 06.10.2010 №131-Ф3 "Об общих принципах организации ме</w:t>
      </w:r>
      <w:r w:rsidRPr="00B72C2E">
        <w:rPr>
          <w:sz w:val="28"/>
          <w:szCs w:val="28"/>
        </w:rPr>
        <w:t xml:space="preserve">стного самоуправления в Российской Федерации", пунктом 3 части 1 статьи 8, пунктом 1 части 1 статьи 9 Федерального закона от 29.12.2012 №273-Ф3 "Об образовании в Российской Федерации", пунктом 2 статьи 14 Закона Ханты-Мансийского автономного округа - Югры </w:t>
      </w:r>
      <w:r w:rsidRPr="00B72C2E">
        <w:rPr>
          <w:sz w:val="28"/>
          <w:szCs w:val="28"/>
        </w:rPr>
        <w:t>от 01.07.2013 №68-оз "Об образовании в Ханты-Мансийском автономном округе - Югре", подпунктом 2 пункта 1 статьи 9 Закона Ханты-Мансийского автономного округа - Югры от 11.12.2013 №123-оз "О наделении органов местного самоуправления муниципальных образовани</w:t>
      </w:r>
      <w:r w:rsidRPr="00B72C2E">
        <w:rPr>
          <w:sz w:val="28"/>
          <w:szCs w:val="28"/>
        </w:rPr>
        <w:t>й Ханты- 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</w:t>
      </w:r>
      <w:r w:rsidRPr="00B72C2E">
        <w:rPr>
          <w:sz w:val="28"/>
          <w:szCs w:val="28"/>
        </w:rPr>
        <w:t xml:space="preserve">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</w:r>
      <w:r w:rsidRPr="00B72C2E">
        <w:rPr>
          <w:sz w:val="28"/>
          <w:szCs w:val="28"/>
        </w:rPr>
        <w:t>основного общего, среднего общего образования в муниципальных общеобразовательных органи</w:t>
      </w:r>
      <w:r w:rsidRPr="00B72C2E">
        <w:rPr>
          <w:sz w:val="28"/>
          <w:szCs w:val="28"/>
        </w:rPr>
        <w:t>зациях, обеспечение дополнительного образования детей в муниципальных общеобразовательных организациях", Порядком расходования субвенций, выделяемых бюджетам муниципальных образований Ханты-Мансийского автономного округа - Югры для обеспечения государствен</w:t>
      </w:r>
      <w:r w:rsidRPr="00B72C2E">
        <w:rPr>
          <w:sz w:val="28"/>
          <w:szCs w:val="28"/>
        </w:rPr>
        <w:t>ных гарантий на получение образования и осуществления переданных им отдельных государственных полномочий, утвержденным приложением 11 к постановлению Правительства Ханты-Мансийского автономного округа - Югры от 30.12.2016 №567-п (далее - постановление Прав</w:t>
      </w:r>
      <w:r w:rsidRPr="00B72C2E">
        <w:rPr>
          <w:sz w:val="28"/>
          <w:szCs w:val="28"/>
        </w:rPr>
        <w:t>ительства Ханты-Мансийского автономного округа - Югры от 30.12.2016 №567-п), Порядком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</w:t>
      </w:r>
      <w:r w:rsidRPr="00B72C2E">
        <w:rPr>
          <w:sz w:val="28"/>
          <w:szCs w:val="28"/>
        </w:rPr>
        <w:t>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21.12.2015 №2291, в 2024 году финансовое обеспечение расходов учр</w:t>
      </w:r>
      <w:r w:rsidRPr="00B72C2E">
        <w:rPr>
          <w:sz w:val="28"/>
          <w:szCs w:val="28"/>
        </w:rPr>
        <w:t>еждения производилось за счет средств субсидий, предоставленных учреждению Соглашением №36 на оказание муниципальных услуг, установленных в муниципальном задании, сформированных в том числе за счет: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-</w:t>
      </w:r>
      <w:r w:rsidRPr="00B72C2E">
        <w:rPr>
          <w:sz w:val="28"/>
          <w:szCs w:val="28"/>
        </w:rPr>
        <w:tab/>
        <w:t>субсидии из бюджета округа, предоставленной на обеспече</w:t>
      </w:r>
      <w:r w:rsidRPr="00B72C2E">
        <w:rPr>
          <w:sz w:val="28"/>
          <w:szCs w:val="28"/>
        </w:rPr>
        <w:t>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 для обеспечения в том числе расходов на оплату труда работников;</w:t>
      </w:r>
    </w:p>
    <w:p w:rsid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-</w:t>
      </w:r>
      <w:r w:rsidRPr="00B72C2E">
        <w:rPr>
          <w:sz w:val="28"/>
          <w:szCs w:val="28"/>
        </w:rPr>
        <w:tab/>
        <w:t>субсидии на выполнение муниципальн</w:t>
      </w:r>
      <w:r w:rsidRPr="00B72C2E">
        <w:rPr>
          <w:sz w:val="28"/>
          <w:szCs w:val="28"/>
        </w:rPr>
        <w:t>ого задания за счет средств бюджета города, код субсидии 006.10.0101 (далее - субсидия из бюджета города), предоставленной на обеспечение предоставления общедоступного и бесплатного общего образования по основным общеобразовательным программам (за исключен</w:t>
      </w:r>
      <w:r w:rsidRPr="00B72C2E">
        <w:rPr>
          <w:sz w:val="28"/>
          <w:szCs w:val="28"/>
        </w:rPr>
        <w:t>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Порядок формирования, финансового обеспечения выполнения муниципального задания на оказ</w:t>
      </w:r>
      <w:r w:rsidRPr="00B72C2E">
        <w:rPr>
          <w:sz w:val="28"/>
          <w:szCs w:val="28"/>
        </w:rPr>
        <w:t>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</w:t>
      </w:r>
      <w:r w:rsidRPr="00B72C2E">
        <w:rPr>
          <w:sz w:val="28"/>
          <w:szCs w:val="28"/>
        </w:rPr>
        <w:t>орода от 21.12.2015 №2291.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Муниципальное задание на 2024 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</w:t>
      </w:r>
      <w:r w:rsidRPr="00B72C2E">
        <w:rPr>
          <w:sz w:val="28"/>
          <w:szCs w:val="28"/>
        </w:rPr>
        <w:t>становленным в пункте 1.1 Соглашения №36.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 xml:space="preserve">Согласно пунктам 2.1 - 2.3 Соглашения №36 субсидия предоставляется учреждению на оказание муниципальных услуг, установленных в муниципальном задании, в соответствии с целевыми направлениями </w:t>
      </w:r>
      <w:r w:rsidRPr="00B72C2E">
        <w:rPr>
          <w:sz w:val="28"/>
          <w:szCs w:val="28"/>
        </w:rPr>
        <w:t>расходования средств, ус</w:t>
      </w:r>
      <w:r w:rsidRPr="00B72C2E">
        <w:rPr>
          <w:sz w:val="28"/>
          <w:szCs w:val="28"/>
        </w:rPr>
        <w:t>тановленными пунктом 1.1 Соглашения №36, в объеме и сроки предоставления, предусмотренными пунктом 3.1 Соглашения №36 и приложением 1 к данному соглашению.</w:t>
      </w:r>
    </w:p>
    <w:p w:rsid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Пунктом 4.3.2 Соглашения №36 установлены обязанности учреждения по использованию субсидии на выполне</w:t>
      </w:r>
      <w:r w:rsidRPr="00B72C2E">
        <w:rPr>
          <w:sz w:val="28"/>
          <w:szCs w:val="28"/>
        </w:rPr>
        <w:t>ние муниципального задания, а именно: обеспечить использование субсидии из бюджета округа в соответствии с целевым направлением расходования средств и нормативами, установленными постановлением Правительства Ханты-Мансийского автономного округа - Югры от 3</w:t>
      </w:r>
      <w:r w:rsidRPr="00B72C2E">
        <w:rPr>
          <w:sz w:val="28"/>
          <w:szCs w:val="28"/>
        </w:rPr>
        <w:t>0.12.2016 №567-п (далее - постановление №567-п); обеспечить целевое использование средств субсидии.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Разделом 5 Соглашения №36 предусмотрено, что в случае неисполнения или ненадлежащего исполнения обязательств, определенных данным соглашением, учреждение не</w:t>
      </w:r>
      <w:r w:rsidRPr="00B72C2E">
        <w:rPr>
          <w:sz w:val="28"/>
          <w:szCs w:val="28"/>
        </w:rPr>
        <w:t>сет ответственность в соответствии с законодательством Российской Федерации.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В соответствии с пунктом 2 статьи 11 Закона Ханты-Мансийского автономного округа - Югры от 11.12.2013 №123-оз субсидия из бюджета округа (код субсидии 006.10.0102) направляется на</w:t>
      </w:r>
      <w:r w:rsidRPr="00B72C2E">
        <w:rPr>
          <w:sz w:val="28"/>
          <w:szCs w:val="28"/>
        </w:rPr>
        <w:t xml:space="preserve"> оплату труда работников муниципальных общеобразовательных организаций,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</w:t>
      </w:r>
      <w:r w:rsidRPr="00B72C2E">
        <w:rPr>
          <w:sz w:val="28"/>
          <w:szCs w:val="28"/>
        </w:rPr>
        <w:t>(или) лицензии на программное обеспечение, расходных материалов, игр, игрушек, услуг связи в части предоставления доступа к сети "Интернет", на проведение государственной итоговой аттестации в части компенсации расходов работникам пунктов проведения экзаме</w:t>
      </w:r>
      <w:r w:rsidRPr="00B72C2E">
        <w:rPr>
          <w:sz w:val="28"/>
          <w:szCs w:val="28"/>
        </w:rPr>
        <w:t>нов (за исключением расходов на содержание зданий и оплату коммунальных услуг).</w:t>
      </w:r>
    </w:p>
    <w:p w:rsidR="00B72C2E" w:rsidP="00B72C2E">
      <w:pPr>
        <w:ind w:firstLine="540"/>
        <w:jc w:val="both"/>
        <w:rPr>
          <w:sz w:val="28"/>
          <w:szCs w:val="28"/>
        </w:rPr>
      </w:pPr>
      <w:r w:rsidRPr="00B72C2E">
        <w:rPr>
          <w:sz w:val="28"/>
          <w:szCs w:val="28"/>
        </w:rPr>
        <w:t>Приложением 14 к Постановлению №567-п утвержден Перечень должностей (профессий) работников (за исключением педагогических работников) муниципальных дошкольных образовательных о</w:t>
      </w:r>
      <w:r w:rsidRPr="00B72C2E">
        <w:rPr>
          <w:sz w:val="28"/>
          <w:szCs w:val="28"/>
        </w:rPr>
        <w:t>рганизаций и муниципальных общеобразовательных организаций, финансируемых за с</w:t>
      </w:r>
      <w:r>
        <w:rPr>
          <w:sz w:val="28"/>
          <w:szCs w:val="28"/>
        </w:rPr>
        <w:t xml:space="preserve">чет субвенций местным бюджетам </w:t>
      </w:r>
      <w:r w:rsidRPr="00B72C2E">
        <w:rPr>
          <w:sz w:val="28"/>
          <w:szCs w:val="28"/>
        </w:rPr>
        <w:t>для обеспечения государственных гарантий на получение образования.</w:t>
      </w:r>
    </w:p>
    <w:p w:rsidR="00B72C2E" w:rsidP="00B72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от 30.09.2024 года № 752 Селютина Т.В. временно исполняла о</w:t>
      </w:r>
      <w:r>
        <w:rPr>
          <w:sz w:val="28"/>
          <w:szCs w:val="28"/>
        </w:rPr>
        <w:t xml:space="preserve">бязанности директора Учреждения в период с 07 по 31 октября 2024 года. </w:t>
      </w:r>
    </w:p>
    <w:p w:rsidR="0068640E" w:rsidP="00B72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</w:t>
      </w:r>
      <w:r w:rsidRPr="00B72C2E">
        <w:rPr>
          <w:sz w:val="28"/>
          <w:szCs w:val="28"/>
        </w:rPr>
        <w:t xml:space="preserve"> специа</w:t>
      </w:r>
      <w:r w:rsidR="00EA17E2">
        <w:rPr>
          <w:sz w:val="28"/>
          <w:szCs w:val="28"/>
        </w:rPr>
        <w:t xml:space="preserve">листу по безопасности </w:t>
      </w:r>
      <w:r w:rsidR="001E4401">
        <w:rPr>
          <w:sz w:val="28"/>
          <w:szCs w:val="28"/>
        </w:rPr>
        <w:t>ФИО1</w:t>
      </w:r>
      <w:r w:rsidRPr="00B72C2E">
        <w:rPr>
          <w:sz w:val="28"/>
          <w:szCs w:val="28"/>
        </w:rPr>
        <w:t>. в период с 01.10.2024 по 31.12.2024 расходы на выплату заработной платы неправомерно произведены за счет суб</w:t>
      </w:r>
      <w:r w:rsidRPr="00B72C2E">
        <w:rPr>
          <w:sz w:val="28"/>
          <w:szCs w:val="28"/>
        </w:rPr>
        <w:t>сидии из бюджета округа (код субсидии 006.10.0102)</w:t>
      </w:r>
      <w:r>
        <w:rPr>
          <w:sz w:val="28"/>
          <w:szCs w:val="28"/>
        </w:rPr>
        <w:t xml:space="preserve"> в сумме 45 467,93 руб</w:t>
      </w:r>
      <w:r w:rsidR="0023599C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72C2E" w:rsidRPr="00B72C2E" w:rsidP="00B72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72C2E">
        <w:rPr>
          <w:sz w:val="28"/>
          <w:szCs w:val="28"/>
        </w:rPr>
        <w:t>убсидия из бюджета округа (код субсидии 006.10.0102) предоставлена на оплату труда работников муниципальных общеобразовательных организаций, перечень которых установлен приложени</w:t>
      </w:r>
      <w:r w:rsidRPr="00B72C2E">
        <w:rPr>
          <w:sz w:val="28"/>
          <w:szCs w:val="28"/>
        </w:rPr>
        <w:t>ем 14 к Постановлению №567-п, при этом должность специалиста по безопасности, расходы на оплату труда которой возможность производить за счет субсидии из бюджета округа, данным приложением не установлена.</w:t>
      </w:r>
    </w:p>
    <w:p w:rsidR="0071127C" w:rsidRPr="0071127C" w:rsidP="0029121B">
      <w:pPr>
        <w:pStyle w:val="10"/>
        <w:shd w:val="clear" w:color="auto" w:fill="auto"/>
        <w:spacing w:before="0" w:after="0" w:line="240" w:lineRule="auto"/>
        <w:ind w:left="20" w:right="40" w:firstLine="56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03CE9">
        <w:rPr>
          <w:sz w:val="28"/>
          <w:szCs w:val="28"/>
        </w:rPr>
        <w:t xml:space="preserve">должностным лицом Учреждения </w:t>
      </w:r>
      <w:r>
        <w:rPr>
          <w:sz w:val="28"/>
          <w:szCs w:val="28"/>
        </w:rPr>
        <w:t>допущен</w:t>
      </w:r>
      <w:r>
        <w:rPr>
          <w:sz w:val="28"/>
          <w:szCs w:val="28"/>
        </w:rPr>
        <w:t xml:space="preserve">о </w:t>
      </w:r>
      <w:r w:rsidR="0029121B">
        <w:rPr>
          <w:sz w:val="28"/>
          <w:szCs w:val="28"/>
        </w:rPr>
        <w:t xml:space="preserve">нецелевое </w:t>
      </w:r>
      <w:r w:rsidR="0029121B">
        <w:rPr>
          <w:sz w:val="28"/>
          <w:szCs w:val="28"/>
        </w:rPr>
        <w:t xml:space="preserve">использование денежных средств в </w:t>
      </w:r>
      <w:r w:rsidRPr="005F3AB3" w:rsidR="0029121B">
        <w:rPr>
          <w:sz w:val="28"/>
          <w:szCs w:val="28"/>
        </w:rPr>
        <w:t xml:space="preserve">размере </w:t>
      </w:r>
      <w:r w:rsidRPr="0068640E" w:rsidR="0068640E">
        <w:rPr>
          <w:color w:val="000000"/>
          <w:spacing w:val="3"/>
          <w:sz w:val="28"/>
          <w:szCs w:val="28"/>
          <w:lang w:eastAsia="ru-RU"/>
        </w:rPr>
        <w:t>45 467,93</w:t>
      </w:r>
      <w:r w:rsidRPr="005F3AB3" w:rsidR="0029121B">
        <w:rPr>
          <w:sz w:val="28"/>
          <w:szCs w:val="28"/>
        </w:rPr>
        <w:t xml:space="preserve"> рублей</w:t>
      </w:r>
      <w:r w:rsidR="0029121B">
        <w:rPr>
          <w:sz w:val="28"/>
          <w:szCs w:val="28"/>
        </w:rPr>
        <w:t xml:space="preserve">. </w:t>
      </w:r>
    </w:p>
    <w:p w:rsidR="006702E4" w:rsidP="000813DF">
      <w:pPr>
        <w:pStyle w:val="10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3D4B8D">
        <w:rPr>
          <w:sz w:val="28"/>
          <w:szCs w:val="28"/>
        </w:rPr>
        <w:t>В соответствии</w:t>
      </w:r>
      <w:r w:rsidRPr="004A4F20">
        <w:rPr>
          <w:sz w:val="28"/>
          <w:szCs w:val="28"/>
        </w:rPr>
        <w:t xml:space="preserve"> со статьей 15.14 Кодекса Российской Федерации об 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</w:t>
      </w:r>
      <w:r w:rsidRPr="004A4F20">
        <w:rPr>
          <w:sz w:val="28"/>
          <w:szCs w:val="28"/>
        </w:rPr>
        <w:t>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</w:t>
      </w:r>
      <w:r w:rsidRPr="004A4F20">
        <w:rPr>
          <w:sz w:val="28"/>
          <w:szCs w:val="28"/>
        </w:rPr>
        <w:t xml:space="preserve">ств, или в направлении средств,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</w:t>
      </w:r>
      <w:r w:rsidRPr="00A47A0A">
        <w:rPr>
          <w:sz w:val="28"/>
          <w:szCs w:val="28"/>
        </w:rPr>
        <w:t>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D77B1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должностных </w:t>
      </w:r>
      <w:r w:rsidRPr="00D77B12">
        <w:rPr>
          <w:sz w:val="28"/>
          <w:szCs w:val="28"/>
        </w:rPr>
        <w:t xml:space="preserve">лиц </w:t>
      </w:r>
      <w:r w:rsidRPr="00DF5FF6" w:rsidR="00DF5FF6">
        <w:rPr>
          <w:sz w:val="28"/>
          <w:szCs w:val="28"/>
        </w:rPr>
        <w:t xml:space="preserve">в размере от двадцати тысяч до пятидесяти тысяч рублей или дисквалификацию на </w:t>
      </w:r>
      <w:r w:rsidR="00DF5FF6">
        <w:rPr>
          <w:sz w:val="28"/>
          <w:szCs w:val="28"/>
        </w:rPr>
        <w:t>срок от одного года до трех лет.</w:t>
      </w:r>
    </w:p>
    <w:p w:rsidR="00344637" w:rsidRPr="00156F96" w:rsidP="00344637">
      <w:pPr>
        <w:pStyle w:val="10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344637" w:rsidRPr="00156F96" w:rsidP="00344637">
      <w:pPr>
        <w:pStyle w:val="10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 xml:space="preserve">Все собранные по делу </w:t>
      </w:r>
      <w:r w:rsidRPr="00156F96">
        <w:rPr>
          <w:sz w:val="28"/>
          <w:szCs w:val="28"/>
        </w:rPr>
        <w:t>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</w:t>
        </w:r>
        <w:r w:rsidRPr="00156F96">
          <w:rPr>
            <w:rStyle w:val="Hyperlink"/>
            <w:color w:val="auto"/>
            <w:sz w:val="28"/>
            <w:szCs w:val="28"/>
            <w:u w:val="none"/>
          </w:rPr>
          <w:t>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DF5FF6">
        <w:rPr>
          <w:sz w:val="28"/>
          <w:szCs w:val="28"/>
        </w:rPr>
        <w:t>должностного</w:t>
      </w:r>
      <w:r w:rsidRPr="00156F96">
        <w:rPr>
          <w:sz w:val="28"/>
          <w:szCs w:val="28"/>
        </w:rPr>
        <w:t xml:space="preserve"> лица </w:t>
      </w:r>
      <w:r w:rsidR="00EA17E2">
        <w:rPr>
          <w:sz w:val="28"/>
          <w:szCs w:val="28"/>
        </w:rPr>
        <w:t>Селютиной Т.В.</w:t>
      </w:r>
      <w:r w:rsidR="00DF5FF6">
        <w:rPr>
          <w:sz w:val="28"/>
          <w:szCs w:val="28"/>
        </w:rPr>
        <w:t xml:space="preserve">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rFonts w:ascii="Arial" w:hAnsi="Arial" w:eastAsiaTheme="minorHAnsi" w:cs="Arial"/>
          <w:lang w:eastAsia="en-US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DF5FF6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действия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3460BE" w:rsidP="003460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DF5FF6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>отягчающих административную отве</w:t>
      </w:r>
      <w:r w:rsidR="00DF5FF6">
        <w:rPr>
          <w:sz w:val="28"/>
          <w:szCs w:val="28"/>
        </w:rPr>
        <w:t>тственность, предусмотренных статьями 4.2 и</w:t>
      </w:r>
      <w:r>
        <w:rPr>
          <w:sz w:val="28"/>
          <w:szCs w:val="28"/>
        </w:rPr>
        <w:t xml:space="preserve"> 4.3 КоАП РФ, мировым судьей не установлено. </w:t>
      </w:r>
    </w:p>
    <w:p w:rsidR="00FE7663" w:rsidRPr="00FE7663" w:rsidP="00FE7663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Решая вопрос о назначении меры ответст</w:t>
      </w:r>
      <w:r w:rsidRPr="00FE7663">
        <w:rPr>
          <w:sz w:val="28"/>
          <w:szCs w:val="28"/>
        </w:rPr>
        <w:t>венности, мировой судья учитывает следующее.</w:t>
      </w:r>
    </w:p>
    <w:p w:rsidR="00C54392" w:rsidP="00C54392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 xml:space="preserve">В соответствии с частью 1 статьи 4.1.1 Кодекса Российской Федерации об административных правонарушениях </w:t>
      </w:r>
      <w:r>
        <w:rPr>
          <w:sz w:val="28"/>
          <w:szCs w:val="28"/>
        </w:rPr>
        <w:t>з</w:t>
      </w:r>
      <w:r w:rsidRPr="00C333B8">
        <w:rPr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</w:t>
      </w:r>
      <w:r w:rsidRPr="00C333B8">
        <w:rPr>
          <w:sz w:val="28"/>
          <w:szCs w:val="28"/>
        </w:rPr>
        <w:t>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</w:t>
      </w:r>
      <w:r w:rsidRPr="00C333B8">
        <w:rPr>
          <w:sz w:val="28"/>
          <w:szCs w:val="28"/>
        </w:rPr>
        <w:t>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4392" w:rsidRPr="00FE7663" w:rsidP="00C54392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</w:t>
      </w:r>
      <w:r w:rsidRPr="00FE7663">
        <w:rPr>
          <w:sz w:val="28"/>
          <w:szCs w:val="28"/>
        </w:rPr>
        <w:t>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</w:t>
      </w:r>
      <w:r w:rsidRPr="00FE7663">
        <w:rPr>
          <w:sz w:val="28"/>
          <w:szCs w:val="28"/>
        </w:rPr>
        <w:t>актера, а также при отсутствии имущественного ущерба.</w:t>
      </w:r>
    </w:p>
    <w:p w:rsidR="00C54392" w:rsidRPr="00FE7663" w:rsidP="00C54392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По смыслу взаимосвязанных положений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</w:t>
      </w:r>
      <w:r w:rsidRPr="00FE7663">
        <w:rPr>
          <w:sz w:val="28"/>
          <w:szCs w:val="28"/>
        </w:rPr>
        <w:t>словий применения административного наказания в виде предупреждения) возможность замены административного наказания в виде административного штрафа на предупреждение не допускается.</w:t>
      </w:r>
    </w:p>
    <w:p w:rsidR="00C54392" w:rsidP="00C54392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Согласно части 2 статьи 4.1.1 Кодекса Российской Федерации об администрати</w:t>
      </w:r>
      <w:r w:rsidRPr="00FE7663">
        <w:rPr>
          <w:sz w:val="28"/>
          <w:szCs w:val="28"/>
        </w:rPr>
        <w:t xml:space="preserve">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C333B8">
        <w:rPr>
          <w:sz w:val="28"/>
          <w:szCs w:val="28"/>
        </w:rPr>
        <w:t xml:space="preserve">статьями 13.15, 13.37, 14.31 - 14.33, 14.56, 15.21, 15.27.3, 15.30, </w:t>
      </w:r>
      <w:r w:rsidRPr="00C333B8">
        <w:rPr>
          <w:sz w:val="28"/>
          <w:szCs w:val="28"/>
        </w:rPr>
        <w:t>19.3, 19.5, 19.5.1, 19.6, 19.8 - 19.8.2, 19.23, частями 2 и 3 статьи 19.27, статьями 19.28, 19.29, 19.30, 19.33, 19.34, 20.3, частью 2 статьи 20.28 настоящего Кодекса.</w:t>
      </w:r>
    </w:p>
    <w:p w:rsidR="00FE7663" w:rsidRPr="00FE7663" w:rsidP="00FE7663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>Таким образом, административное правонарушение, предусмотренное статьей 15.14 Кодекса Ро</w:t>
      </w:r>
      <w:r w:rsidRPr="00FE7663">
        <w:rPr>
          <w:sz w:val="28"/>
          <w:szCs w:val="28"/>
        </w:rPr>
        <w:t>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</w:t>
      </w:r>
      <w:r w:rsidRPr="00FE7663">
        <w:rPr>
          <w:sz w:val="28"/>
          <w:szCs w:val="28"/>
        </w:rPr>
        <w:t>ретном случае по своему внутреннему убеждению.</w:t>
      </w:r>
    </w:p>
    <w:p w:rsidR="00DF5FF6" w:rsidP="00FE7663">
      <w:pPr>
        <w:ind w:firstLine="540"/>
        <w:jc w:val="both"/>
        <w:rPr>
          <w:sz w:val="28"/>
          <w:szCs w:val="28"/>
        </w:rPr>
      </w:pPr>
      <w:r w:rsidRPr="00FE7663">
        <w:rPr>
          <w:sz w:val="28"/>
          <w:szCs w:val="28"/>
        </w:rPr>
        <w:t xml:space="preserve">Доказательства, свидетельствующие о том, что </w:t>
      </w:r>
      <w:r w:rsidR="0023599C">
        <w:rPr>
          <w:sz w:val="28"/>
          <w:szCs w:val="28"/>
        </w:rPr>
        <w:t xml:space="preserve">заместитель </w:t>
      </w:r>
      <w:r w:rsidRPr="00FE7663">
        <w:rPr>
          <w:sz w:val="28"/>
          <w:szCs w:val="28"/>
        </w:rPr>
        <w:t>директор</w:t>
      </w:r>
      <w:r w:rsidR="0023599C">
        <w:rPr>
          <w:sz w:val="28"/>
          <w:szCs w:val="28"/>
        </w:rPr>
        <w:t>а</w:t>
      </w:r>
      <w:r w:rsidRPr="00FE7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68640E">
        <w:rPr>
          <w:sz w:val="28"/>
          <w:szCs w:val="28"/>
        </w:rPr>
        <w:t>Селютина Т.В.</w:t>
      </w:r>
      <w:r>
        <w:rPr>
          <w:sz w:val="28"/>
          <w:szCs w:val="28"/>
        </w:rPr>
        <w:t xml:space="preserve"> </w:t>
      </w:r>
      <w:r w:rsidRPr="00FE7663">
        <w:rPr>
          <w:sz w:val="28"/>
          <w:szCs w:val="28"/>
        </w:rPr>
        <w:t>ранее привлекалась к административной ответственности, в материалах дела отсутствуют.</w:t>
      </w:r>
    </w:p>
    <w:p w:rsidR="00FE7663" w:rsidRPr="00B2011E" w:rsidP="00FE766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2011E">
        <w:rPr>
          <w:color w:val="000000"/>
          <w:sz w:val="28"/>
          <w:szCs w:val="28"/>
        </w:rPr>
        <w:t>Учитыв</w:t>
      </w:r>
      <w:r>
        <w:rPr>
          <w:color w:val="000000"/>
          <w:sz w:val="28"/>
          <w:szCs w:val="28"/>
        </w:rPr>
        <w:t>ая данное обстоятельство,</w:t>
      </w:r>
      <w:r>
        <w:rPr>
          <w:color w:val="000000"/>
          <w:sz w:val="28"/>
          <w:szCs w:val="28"/>
        </w:rPr>
        <w:t xml:space="preserve"> а так</w:t>
      </w:r>
      <w:r w:rsidRPr="00B2011E">
        <w:rPr>
          <w:color w:val="000000"/>
          <w:sz w:val="28"/>
          <w:szCs w:val="28"/>
        </w:rPr>
        <w:t xml:space="preserve">же то, что совершенное </w:t>
      </w:r>
      <w:r>
        <w:rPr>
          <w:color w:val="000000"/>
          <w:sz w:val="28"/>
          <w:szCs w:val="28"/>
        </w:rPr>
        <w:t xml:space="preserve">должностным </w:t>
      </w:r>
      <w:r w:rsidRPr="00B2011E">
        <w:rPr>
          <w:color w:val="000000"/>
          <w:sz w:val="28"/>
          <w:szCs w:val="28"/>
        </w:rPr>
        <w:t xml:space="preserve">лицом деяние не повлекло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B2011E">
        <w:rPr>
          <w:color w:val="000000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имущественного ущерба, судья находит возможным замену наказания в виде штрафа предупреждением.</w:t>
      </w:r>
    </w:p>
    <w:p w:rsidR="00C5576E" w:rsidP="00C5576E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 w:rsidR="008819D2">
        <w:rPr>
          <w:sz w:val="28"/>
          <w:szCs w:val="28"/>
        </w:rPr>
        <w:t xml:space="preserve"> </w:t>
      </w:r>
      <w:r w:rsidR="00FE7663">
        <w:rPr>
          <w:sz w:val="28"/>
          <w:szCs w:val="28"/>
          <w:lang w:val="ru-RU"/>
        </w:rPr>
        <w:t xml:space="preserve">4.1.1, </w:t>
      </w:r>
      <w:r w:rsidR="008819D2">
        <w:rPr>
          <w:sz w:val="28"/>
          <w:szCs w:val="28"/>
        </w:rPr>
        <w:t>29.9, 29.10</w:t>
      </w:r>
      <w:r w:rsidR="008819D2"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5E3935" w:rsidRPr="008E7F97" w:rsidP="00C5576E">
      <w:pPr>
        <w:pStyle w:val="BodyTextIndent"/>
        <w:suppressAutoHyphens/>
        <w:rPr>
          <w:sz w:val="28"/>
          <w:szCs w:val="28"/>
        </w:rPr>
      </w:pP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C1436B" w:rsidP="00C5576E">
      <w:pPr>
        <w:pStyle w:val="BodyTextIndent"/>
        <w:suppressAutoHyphens/>
        <w:rPr>
          <w:sz w:val="28"/>
          <w:szCs w:val="28"/>
        </w:rPr>
      </w:pPr>
    </w:p>
    <w:p w:rsidR="00DF5FF6" w:rsidRPr="00DF5FF6" w:rsidP="00C5576E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EA17E2">
        <w:rPr>
          <w:sz w:val="28"/>
          <w:szCs w:val="28"/>
          <w:lang w:val="ru-RU"/>
        </w:rPr>
        <w:t>аместителя директора муниципального бюджетного общеобразовательного учреждения «Средняя школа № 6» Селютину Татьяну Валерьевну</w:t>
      </w:r>
      <w:r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>ой</w:t>
      </w:r>
      <w:r w:rsidR="00C5576E"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067EA3">
        <w:rPr>
          <w:sz w:val="28"/>
          <w:szCs w:val="28"/>
        </w:rPr>
        <w:t>ст.1</w:t>
      </w:r>
      <w:r w:rsidR="00067EA3">
        <w:rPr>
          <w:sz w:val="28"/>
          <w:szCs w:val="28"/>
          <w:lang w:val="ru-RU"/>
        </w:rPr>
        <w:t>5</w:t>
      </w:r>
      <w:r w:rsidR="00067EA3">
        <w:rPr>
          <w:sz w:val="28"/>
          <w:szCs w:val="28"/>
        </w:rPr>
        <w:t>.</w:t>
      </w:r>
      <w:r w:rsidR="00067EA3">
        <w:rPr>
          <w:sz w:val="28"/>
          <w:szCs w:val="28"/>
          <w:lang w:val="ru-RU"/>
        </w:rPr>
        <w:t>14</w:t>
      </w:r>
      <w:r w:rsidRPr="008E7F97" w:rsidR="00C5576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5576E">
        <w:rPr>
          <w:sz w:val="28"/>
          <w:szCs w:val="28"/>
        </w:rPr>
        <w:t>,</w:t>
      </w:r>
      <w:r w:rsidRPr="008E7F97" w:rsidR="00C5576E">
        <w:rPr>
          <w:sz w:val="28"/>
          <w:szCs w:val="28"/>
        </w:rPr>
        <w:t xml:space="preserve"> и назначить наказание в виде </w:t>
      </w:r>
      <w:r>
        <w:rPr>
          <w:sz w:val="28"/>
          <w:szCs w:val="28"/>
          <w:lang w:val="ru-RU"/>
        </w:rPr>
        <w:t xml:space="preserve">предупреждения. </w:t>
      </w:r>
    </w:p>
    <w:p w:rsidR="00C5576E" w:rsidP="00C5576E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</w:t>
      </w:r>
      <w:r w:rsidRPr="008E7F97">
        <w:rPr>
          <w:sz w:val="28"/>
          <w:szCs w:val="28"/>
        </w:rPr>
        <w:t xml:space="preserve">ечение десяти </w:t>
      </w:r>
      <w:r w:rsidR="00EA17E2">
        <w:rPr>
          <w:sz w:val="28"/>
          <w:szCs w:val="28"/>
        </w:rPr>
        <w:t>дней</w:t>
      </w:r>
      <w:r w:rsidRPr="008E7F97">
        <w:rPr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="0023599C">
        <w:rPr>
          <w:sz w:val="28"/>
          <w:szCs w:val="28"/>
        </w:rPr>
        <w:t xml:space="preserve"> судебного участка № 8</w:t>
      </w:r>
      <w:r w:rsidRPr="008E7F97">
        <w:rPr>
          <w:sz w:val="28"/>
          <w:szCs w:val="28"/>
        </w:rPr>
        <w:t>.</w:t>
      </w:r>
    </w:p>
    <w:p w:rsidR="00C33246" w:rsidRPr="008E7F97" w:rsidP="00C5576E">
      <w:pPr>
        <w:ind w:firstLine="540"/>
        <w:jc w:val="both"/>
        <w:rPr>
          <w:sz w:val="28"/>
          <w:szCs w:val="28"/>
        </w:rPr>
      </w:pPr>
    </w:p>
    <w:p w:rsidR="0068640E" w:rsidRPr="0090670B" w:rsidP="0068640E">
      <w:pPr>
        <w:ind w:right="-5"/>
        <w:rPr>
          <w:rFonts w:eastAsia="MS Mincho"/>
          <w:bCs/>
          <w:sz w:val="28"/>
          <w:szCs w:val="28"/>
        </w:rPr>
      </w:pPr>
    </w:p>
    <w:p w:rsidR="0068640E" w:rsidRPr="00351B2A" w:rsidP="0068640E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5D3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07" w:bottom="426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 w14:paraId="6AC3D438" w14:textId="77777777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935">
      <w:rPr>
        <w:rStyle w:val="PageNumber"/>
        <w:noProof/>
      </w:rPr>
      <w:t>5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E4401" w:rsidR="001E4401">
      <w:rPr>
        <w:noProof/>
        <w:lang w:val="ru-RU"/>
      </w:rPr>
      <w:t>5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0CB6"/>
    <w:rsid w:val="000152CF"/>
    <w:rsid w:val="000443E9"/>
    <w:rsid w:val="00055A8C"/>
    <w:rsid w:val="00064DA1"/>
    <w:rsid w:val="00067EA3"/>
    <w:rsid w:val="000778DA"/>
    <w:rsid w:val="000813DF"/>
    <w:rsid w:val="000A0953"/>
    <w:rsid w:val="000B08FB"/>
    <w:rsid w:val="000F168D"/>
    <w:rsid w:val="001046B4"/>
    <w:rsid w:val="001060FA"/>
    <w:rsid w:val="00134AD2"/>
    <w:rsid w:val="00156F96"/>
    <w:rsid w:val="00157F97"/>
    <w:rsid w:val="0017032E"/>
    <w:rsid w:val="00177927"/>
    <w:rsid w:val="0018574D"/>
    <w:rsid w:val="001A3088"/>
    <w:rsid w:val="001D1B0F"/>
    <w:rsid w:val="001E22DF"/>
    <w:rsid w:val="001E4401"/>
    <w:rsid w:val="001F15C4"/>
    <w:rsid w:val="001F5682"/>
    <w:rsid w:val="00204F09"/>
    <w:rsid w:val="0022382F"/>
    <w:rsid w:val="002344EA"/>
    <w:rsid w:val="0023599C"/>
    <w:rsid w:val="00280652"/>
    <w:rsid w:val="0029121B"/>
    <w:rsid w:val="00292F2A"/>
    <w:rsid w:val="00295031"/>
    <w:rsid w:val="00296D9E"/>
    <w:rsid w:val="0029731F"/>
    <w:rsid w:val="002B6782"/>
    <w:rsid w:val="002E7FF2"/>
    <w:rsid w:val="002F35AB"/>
    <w:rsid w:val="0030473F"/>
    <w:rsid w:val="0031679A"/>
    <w:rsid w:val="003231FA"/>
    <w:rsid w:val="00325AEE"/>
    <w:rsid w:val="003300E8"/>
    <w:rsid w:val="00331A77"/>
    <w:rsid w:val="00344637"/>
    <w:rsid w:val="003452AE"/>
    <w:rsid w:val="003460BE"/>
    <w:rsid w:val="0035103B"/>
    <w:rsid w:val="00351281"/>
    <w:rsid w:val="00351B2A"/>
    <w:rsid w:val="00366891"/>
    <w:rsid w:val="003B25D6"/>
    <w:rsid w:val="003D371E"/>
    <w:rsid w:val="003D4B8D"/>
    <w:rsid w:val="00407BE7"/>
    <w:rsid w:val="00430C9E"/>
    <w:rsid w:val="00432360"/>
    <w:rsid w:val="0045263D"/>
    <w:rsid w:val="00474236"/>
    <w:rsid w:val="00480606"/>
    <w:rsid w:val="00496DA4"/>
    <w:rsid w:val="004A4F20"/>
    <w:rsid w:val="004C1435"/>
    <w:rsid w:val="004D6EB0"/>
    <w:rsid w:val="004D79CB"/>
    <w:rsid w:val="005321B6"/>
    <w:rsid w:val="005343E1"/>
    <w:rsid w:val="00566599"/>
    <w:rsid w:val="00567E91"/>
    <w:rsid w:val="00597B8C"/>
    <w:rsid w:val="005B1464"/>
    <w:rsid w:val="005D3608"/>
    <w:rsid w:val="005E3935"/>
    <w:rsid w:val="005F3AB3"/>
    <w:rsid w:val="00626B76"/>
    <w:rsid w:val="0063016B"/>
    <w:rsid w:val="00644BA6"/>
    <w:rsid w:val="00647336"/>
    <w:rsid w:val="00655C42"/>
    <w:rsid w:val="00665703"/>
    <w:rsid w:val="006702E4"/>
    <w:rsid w:val="00670FD8"/>
    <w:rsid w:val="0068640E"/>
    <w:rsid w:val="006869B2"/>
    <w:rsid w:val="006A4332"/>
    <w:rsid w:val="006C3BB7"/>
    <w:rsid w:val="0071127C"/>
    <w:rsid w:val="00715E0A"/>
    <w:rsid w:val="00724CF8"/>
    <w:rsid w:val="0073185E"/>
    <w:rsid w:val="00740A86"/>
    <w:rsid w:val="00747327"/>
    <w:rsid w:val="00762279"/>
    <w:rsid w:val="00771971"/>
    <w:rsid w:val="007F6427"/>
    <w:rsid w:val="0082151B"/>
    <w:rsid w:val="008819D2"/>
    <w:rsid w:val="008B66AD"/>
    <w:rsid w:val="008D5108"/>
    <w:rsid w:val="008D518F"/>
    <w:rsid w:val="008D58F0"/>
    <w:rsid w:val="008E135A"/>
    <w:rsid w:val="008E7F97"/>
    <w:rsid w:val="00905801"/>
    <w:rsid w:val="0090670B"/>
    <w:rsid w:val="00922388"/>
    <w:rsid w:val="0096346F"/>
    <w:rsid w:val="0096486A"/>
    <w:rsid w:val="00964D94"/>
    <w:rsid w:val="009717E3"/>
    <w:rsid w:val="009839CD"/>
    <w:rsid w:val="009B13D1"/>
    <w:rsid w:val="009C4536"/>
    <w:rsid w:val="00A00376"/>
    <w:rsid w:val="00A02671"/>
    <w:rsid w:val="00A050D9"/>
    <w:rsid w:val="00A33105"/>
    <w:rsid w:val="00A47A0A"/>
    <w:rsid w:val="00A53AF3"/>
    <w:rsid w:val="00A5679E"/>
    <w:rsid w:val="00A8467B"/>
    <w:rsid w:val="00AB0216"/>
    <w:rsid w:val="00AB3DF1"/>
    <w:rsid w:val="00B05A9E"/>
    <w:rsid w:val="00B2011E"/>
    <w:rsid w:val="00B72C2E"/>
    <w:rsid w:val="00B77C36"/>
    <w:rsid w:val="00B84812"/>
    <w:rsid w:val="00B870BE"/>
    <w:rsid w:val="00BA0DA9"/>
    <w:rsid w:val="00BA5F66"/>
    <w:rsid w:val="00BB2695"/>
    <w:rsid w:val="00BB7BE5"/>
    <w:rsid w:val="00BC3322"/>
    <w:rsid w:val="00BC425F"/>
    <w:rsid w:val="00C1436B"/>
    <w:rsid w:val="00C179C3"/>
    <w:rsid w:val="00C23632"/>
    <w:rsid w:val="00C33246"/>
    <w:rsid w:val="00C333B8"/>
    <w:rsid w:val="00C54392"/>
    <w:rsid w:val="00C5576E"/>
    <w:rsid w:val="00C63126"/>
    <w:rsid w:val="00C73ADD"/>
    <w:rsid w:val="00CA55B9"/>
    <w:rsid w:val="00D022C4"/>
    <w:rsid w:val="00D03CE9"/>
    <w:rsid w:val="00D04BE9"/>
    <w:rsid w:val="00D06801"/>
    <w:rsid w:val="00D33ECD"/>
    <w:rsid w:val="00D469EF"/>
    <w:rsid w:val="00D5064F"/>
    <w:rsid w:val="00D628EB"/>
    <w:rsid w:val="00D7270B"/>
    <w:rsid w:val="00D77B12"/>
    <w:rsid w:val="00D8056D"/>
    <w:rsid w:val="00D829A7"/>
    <w:rsid w:val="00D83162"/>
    <w:rsid w:val="00D852CE"/>
    <w:rsid w:val="00DA1783"/>
    <w:rsid w:val="00DC2BBD"/>
    <w:rsid w:val="00DE2FE7"/>
    <w:rsid w:val="00DF5FF6"/>
    <w:rsid w:val="00E05767"/>
    <w:rsid w:val="00E12D47"/>
    <w:rsid w:val="00E237B0"/>
    <w:rsid w:val="00E23F7F"/>
    <w:rsid w:val="00E51B82"/>
    <w:rsid w:val="00E57FF7"/>
    <w:rsid w:val="00E6414E"/>
    <w:rsid w:val="00E66E1D"/>
    <w:rsid w:val="00E6732D"/>
    <w:rsid w:val="00E8745E"/>
    <w:rsid w:val="00EA17E2"/>
    <w:rsid w:val="00EB5988"/>
    <w:rsid w:val="00EE7CFC"/>
    <w:rsid w:val="00EF3236"/>
    <w:rsid w:val="00F23C84"/>
    <w:rsid w:val="00F61BD3"/>
    <w:rsid w:val="00F62323"/>
    <w:rsid w:val="00F63C23"/>
    <w:rsid w:val="00F804FC"/>
    <w:rsid w:val="00F85985"/>
    <w:rsid w:val="00FB0469"/>
    <w:rsid w:val="00FD0F98"/>
    <w:rsid w:val="00FE7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paragraph" w:styleId="BlockText">
    <w:name w:val="Block Text"/>
    <w:basedOn w:val="Normal"/>
    <w:rsid w:val="009839CD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C563-CF5F-4AC6-AFCD-DB1C05B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